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微软雅黑" w:hAnsi="微软雅黑" w:eastAsia="微软雅黑" w:cs="微软雅黑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国家工商行政管理总局关于修改《企业登记档案资料查询办法》的通知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微软雅黑" w:hAnsi="微软雅黑" w:eastAsia="微软雅黑" w:cs="微软雅黑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各省、自治区、直辖市及计划单列市工商行政管理局：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 xml:space="preserve">    经研究，现对《企业登记档案资料查询办法》进行修改。第七条第一款改为：“各级公安机关、检察机关、审判机关、国家安全机关、纪检监察机关、审计机关，持有关公函，并出示查询人员有效证件，可以向各级工商行政管理机关进行书式档案资料查询。律师事务所代理诉讼活动，查询人员出示法院立案证明和律师证件，可以进行书式档案资料查询。”第十条第一款改为“查询、复制企业登记档案资料，查询人应当交纳查询费、复制费。公、检、法、国家安全、纪检监察、审计机关查询档案资料不收费。”请遵照执行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微软雅黑" w:hAnsi="微软雅黑" w:eastAsia="微软雅黑" w:cs="微软雅黑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 xml:space="preserve">                              二○○三年三月十三日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微软雅黑" w:hAnsi="微软雅黑" w:eastAsia="微软雅黑" w:cs="微软雅黑"/>
        </w:rPr>
      </w:pPr>
    </w:p>
    <w:sectPr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cumentProtection w:enforcement="0"/>
  <w:characterSpacingControl w:val="compressPunctuation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30703B"/>
    <w:rsid w:val="350E5F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Office_11.1.0.9828_F1E327BC-269C-435d-A152-05C5408002CA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2020-07-31T08:32:58Z</dcterms:created>
  <dc:creator>Administrator</dc:creator>
  <cp:lastModifiedBy>Administrator</cp:lastModifiedBy>
  <dcterms:modified xsi:type="dcterms:W3CDTF">2020-07-31T08:35:37Z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